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17.04.2025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9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 Самарской области успешно реализуется закон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о «гаражной амнистии»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7 180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 объектов недвижимости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было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поставлено на кадастровый учет и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зарегистрировано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в Самарском регионе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с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о времени вступления в силу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закона о так называемой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«гаражной амнистии»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. Из них - 4413 земельных участков и 2767 гаражей – об этом сообщает самарский Росреестр.</w:t>
      </w:r>
      <w:r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Лидерами по реализации «гаражной амнистии» стала столица региона, где зарегистрировано 1197 объектов недвижимости, а также города Сызрань, Новокуйбышевск, Тольятти и Жигулевск.</w:t>
      </w:r>
      <w:r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i/>
          <w:iCs/>
          <w:color w:val="222222"/>
          <w:sz w:val="28"/>
          <w:szCs w:val="28"/>
          <w:highlight w:val="none"/>
          <w14:ligatures w14:val="none"/>
        </w:rPr>
        <w:t xml:space="preserve">«Напоминаем, что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воспользоваться «гаражной амнистией» могут владельцы гаражей, их наследники, а также те, кто купил гараж по соглашению у первоначального собственника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,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–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отмечает заместитель руководителя самарского Росреестра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  <w14:ligatures w14:val="none"/>
        </w:rPr>
        <w:t xml:space="preserve">Татьяна Титова.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14:ligatures w14:val="none"/>
        </w:rPr>
        <w:t xml:space="preserve">-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З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акон призван помочь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в регистрации прав на гаражи и земельные участки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тем гражданам, которые приобрели их без надлежащего о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формления документов, а в настоящее время прежнего правообладателя уже невозможно найти, либо он умер. Кроме того,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«гаражная амнистия»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 важна тем, у кого до сих пор не оформлена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земля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под гаражом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, в том числе в случае, когда земельный участок был предоставлен кооперативу или же гаражи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 были построены без выделения кооперативу  земельного участка. Наконец, закон поможет в ситуации, когда гаражный кооператив прекратил свое существование, в связи с чем невозможно было зарегистрировать право на гараж без обращения в суд».</w:t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282828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b w:val="0"/>
          <w:bCs w:val="0"/>
          <w:i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282828"/>
          <w:sz w:val="28"/>
          <w:szCs w:val="28"/>
          <w:highlight w:val="white"/>
        </w:rPr>
        <w:t xml:space="preserve"> </w:t>
      </w:r>
      <w:r>
        <w:rPr>
          <w:rFonts w:ascii="Tinos" w:hAnsi="Tinos" w:eastAsia="Tinos" w:cs="Tinos"/>
          <w:b w:val="0"/>
          <w:bCs w:val="0"/>
          <w:color w:val="282828"/>
          <w:sz w:val="28"/>
          <w:szCs w:val="28"/>
          <w:highlight w:val="white"/>
          <w14:ligatures w14:val="none"/>
        </w:rPr>
      </w:r>
      <w:r>
        <w:rPr>
          <w:rFonts w:ascii="Tinos" w:hAnsi="Tinos" w:eastAsia="Tinos" w:cs="Tinos"/>
          <w:b w:val="0"/>
          <w:bCs w:val="0"/>
          <w:color w:val="282828"/>
          <w:sz w:val="28"/>
          <w:szCs w:val="28"/>
          <w:highlight w:val="whit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82828"/>
          <w:sz w:val="28"/>
          <w:szCs w:val="28"/>
          <w:highlight w:val="white"/>
        </w:rPr>
      </w:r>
      <w:r>
        <w:rPr>
          <w:rFonts w:ascii="Tinos" w:hAnsi="Tinos" w:eastAsia="Tinos" w:cs="Tinos"/>
          <w:color w:val="282828"/>
          <w:sz w:val="28"/>
          <w:szCs w:val="28"/>
          <w:highlight w:val="white"/>
        </w:rPr>
        <w:t xml:space="preserve">Обращаем внимание, что готовится еще одно изменение в «гаражной амнистии». В январе 2025 года Госдумой принят законопроект, направленный на защиту прав собственников подземных гаражей. </w:t>
      </w:r>
      <w:r>
        <w:rPr>
          <w:rFonts w:ascii="Tinos" w:hAnsi="Tinos" w:eastAsia="Tinos" w:cs="Tinos"/>
          <w:color w:val="282828"/>
          <w:sz w:val="28"/>
          <w:szCs w:val="28"/>
          <w:highlight w:val="white"/>
        </w:rPr>
        <w:t xml:space="preserve">Предусмотрена норма, по которой владельцы подземных гаражей смогут использовать земельный участок над гаражом для его ремонта. Это можно будет сделать в упрощенном порядке на основании разрешения местной администрации. Владельцы подзе</w:t>
      </w:r>
      <w:r>
        <w:rPr>
          <w:rFonts w:ascii="Tinos" w:hAnsi="Tinos" w:eastAsia="Tinos" w:cs="Tinos"/>
          <w:color w:val="282828"/>
          <w:sz w:val="28"/>
          <w:szCs w:val="28"/>
          <w:highlight w:val="white"/>
        </w:rPr>
        <w:t xml:space="preserve">мных гаражей, у которых есть надземные конструкции (стойки в виде труб, крыша и др.) смогут оформить в собственность земельный участок над таким объектом.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9"/>
        <w:ind w:left="0" w:right="0" w:firstLine="567"/>
        <w:jc w:val="both"/>
        <w:spacing w:line="360" w:lineRule="auto"/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b w:val="0"/>
          <w:bCs/>
          <w:i/>
          <w:color w:val="auto"/>
          <w:sz w:val="28"/>
          <w:szCs w:val="28"/>
          <w:highlight w:val="white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30</cp:revision>
  <dcterms:modified xsi:type="dcterms:W3CDTF">2025-04-16T05:41:33Z</dcterms:modified>
</cp:coreProperties>
</file>